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7273" w14:textId="77777777" w:rsidR="00BE5923" w:rsidRPr="00BE5923" w:rsidRDefault="00BE5923" w:rsidP="00BE5923">
      <w:pPr>
        <w:rPr>
          <w:b/>
          <w:bCs/>
        </w:rPr>
      </w:pPr>
      <w:r w:rsidRPr="00BE5923">
        <w:rPr>
          <w:b/>
          <w:bCs/>
        </w:rPr>
        <w:t>Bulk of CSB awards go to ‘particularly vulnerable’ clients of 2 lawyers</w:t>
      </w:r>
    </w:p>
    <w:p w14:paraId="7040877B" w14:textId="77777777" w:rsidR="00BE5923" w:rsidRPr="00BE5923" w:rsidRDefault="00BE5923" w:rsidP="00BE5923">
      <w:hyperlink r:id="rId5" w:history="1">
        <w:r w:rsidRPr="00BE5923">
          <w:rPr>
            <w:rStyle w:val="Hyperlink"/>
            <w:b/>
            <w:bCs/>
          </w:rPr>
          <w:t>Kris Olson</w:t>
        </w:r>
      </w:hyperlink>
      <w:r w:rsidRPr="00BE5923">
        <w:t>//April 25, 2025//</w:t>
      </w:r>
      <w:r w:rsidRPr="00BE5923">
        <w:rPr>
          <w:b/>
          <w:bCs/>
        </w:rPr>
        <w:t>  </w:t>
      </w:r>
    </w:p>
    <w:p w14:paraId="2C144E71" w14:textId="77777777" w:rsidR="00BE5923" w:rsidRPr="00BE5923" w:rsidRDefault="00BE5923" w:rsidP="00BE5923">
      <w:r w:rsidRPr="00BE5923">
        <w:t>Once again, a vanishingly small number of attorneys in FY 2024 was responsible for the bulk of the awards bestowed by the Clients’ Security Board for reimbursable losses of aggrieved former clients, according to </w:t>
      </w:r>
      <w:hyperlink r:id="rId6" w:history="1">
        <w:r w:rsidRPr="00BE5923">
          <w:rPr>
            <w:rStyle w:val="Hyperlink"/>
          </w:rPr>
          <w:t>the CSB’s recently released annual report</w:t>
        </w:r>
      </w:hyperlink>
      <w:r w:rsidRPr="00BE5923">
        <w:t>.</w:t>
      </w:r>
    </w:p>
    <w:p w14:paraId="22120484" w14:textId="77777777" w:rsidR="00BE5923" w:rsidRPr="00BE5923" w:rsidRDefault="00BE5923" w:rsidP="00BE5923">
      <w:r w:rsidRPr="00BE5923">
        <w:t xml:space="preserve">One disturbing difference this year? More than 70 percent of the awards (46 of 65) went to former clients of two attorneys, Benjamin B. </w:t>
      </w:r>
      <w:proofErr w:type="spellStart"/>
      <w:r w:rsidRPr="00BE5923">
        <w:t>Tariri</w:t>
      </w:r>
      <w:proofErr w:type="spellEnd"/>
      <w:r w:rsidRPr="00BE5923">
        <w:t xml:space="preserve"> and George C. Maroun Jr. The pair represented immigrant clients “who were particularly vulnerable to dishonest conduct by the attorneys they trusted,” the annual report states.</w:t>
      </w:r>
    </w:p>
    <w:p w14:paraId="28441006" w14:textId="77777777" w:rsidR="00BE5923" w:rsidRPr="00BE5923" w:rsidRDefault="00BE5923" w:rsidP="00BE5923">
      <w:r w:rsidRPr="00BE5923">
        <w:t xml:space="preserve">On Nov. 21, 2022, bar counsel had filed a petition asserting that </w:t>
      </w:r>
      <w:proofErr w:type="spellStart"/>
      <w:r w:rsidRPr="00BE5923">
        <w:t>Tariri</w:t>
      </w:r>
      <w:proofErr w:type="spellEnd"/>
      <w:r w:rsidRPr="00BE5923">
        <w:t xml:space="preserve"> had misappropriated hundreds of thousands of dollars of client funds to support a gambling addiction and pay personal debts.</w:t>
      </w:r>
    </w:p>
    <w:p w14:paraId="56278860" w14:textId="77777777" w:rsidR="00BE5923" w:rsidRPr="00BE5923" w:rsidRDefault="00BE5923" w:rsidP="00BE5923">
      <w:r w:rsidRPr="00BE5923">
        <w:t xml:space="preserve">In one instance, </w:t>
      </w:r>
      <w:proofErr w:type="spellStart"/>
      <w:r w:rsidRPr="00BE5923">
        <w:t>Tariri</w:t>
      </w:r>
      <w:proofErr w:type="spellEnd"/>
      <w:r w:rsidRPr="00BE5923">
        <w:t xml:space="preserve"> had purchased lottery tickets with funds that had been placed in his IOLTA account intended for a client’s purchase of a home, bar counsel alleged. He then failed to make certain wire transfers in connection with the client’s home purchase and tried to cover his tracks by depositing money from other clients in the IOLTA account to ensure that the home purchase went through, according to bar counsel.</w:t>
      </w:r>
    </w:p>
    <w:p w14:paraId="45A7AEAE" w14:textId="77777777" w:rsidR="00BE5923" w:rsidRPr="00BE5923" w:rsidRDefault="00BE5923" w:rsidP="00BE5923">
      <w:r w:rsidRPr="00BE5923">
        <w:t xml:space="preserve">In another instance, </w:t>
      </w:r>
      <w:proofErr w:type="spellStart"/>
      <w:r w:rsidRPr="00BE5923">
        <w:t>Tariri</w:t>
      </w:r>
      <w:proofErr w:type="spellEnd"/>
      <w:r w:rsidRPr="00BE5923">
        <w:t xml:space="preserve"> repeatedly borrowed money from a client he had represented in a variety of matters and never fully repaid the loan, instead writing the client a series of bad checks, bar counsel alleged. Other clients, too, had checks returned for insufficient funds, according to bar counsel.</w:t>
      </w:r>
    </w:p>
    <w:p w14:paraId="4CE520F4" w14:textId="77777777" w:rsidR="00BE5923" w:rsidRPr="00BE5923" w:rsidRDefault="00BE5923" w:rsidP="00BE5923">
      <w:r w:rsidRPr="00BE5923">
        <w:t xml:space="preserve">While </w:t>
      </w:r>
      <w:proofErr w:type="spellStart"/>
      <w:r w:rsidRPr="00BE5923">
        <w:t>Tariri</w:t>
      </w:r>
      <w:proofErr w:type="spellEnd"/>
      <w:r w:rsidRPr="00BE5923">
        <w:t xml:space="preserve"> had an appeal </w:t>
      </w:r>
      <w:proofErr w:type="gramStart"/>
      <w:r w:rsidRPr="00BE5923">
        <w:t>of</w:t>
      </w:r>
      <w:proofErr w:type="gramEnd"/>
      <w:r w:rsidRPr="00BE5923">
        <w:t xml:space="preserve"> his temporary suspension pending with the SJC, a single justice found him in contempt for failing to comply with the requirements of that suspension. On </w:t>
      </w:r>
      <w:hyperlink r:id="rId7" w:history="1">
        <w:r w:rsidRPr="00BE5923">
          <w:rPr>
            <w:rStyle w:val="Hyperlink"/>
          </w:rPr>
          <w:t xml:space="preserve">April 21, 2023, </w:t>
        </w:r>
        <w:proofErr w:type="spellStart"/>
        <w:r w:rsidRPr="00BE5923">
          <w:rPr>
            <w:rStyle w:val="Hyperlink"/>
          </w:rPr>
          <w:t>Tariri</w:t>
        </w:r>
        <w:proofErr w:type="spellEnd"/>
        <w:r w:rsidRPr="00BE5923">
          <w:rPr>
            <w:rStyle w:val="Hyperlink"/>
          </w:rPr>
          <w:t xml:space="preserve"> was committed to the Suffolk County House of Correction</w:t>
        </w:r>
      </w:hyperlink>
      <w:r w:rsidRPr="00BE5923">
        <w:t> for up to 90 days but was released when he consented to disbarment.</w:t>
      </w:r>
    </w:p>
    <w:p w14:paraId="0D2DFF05" w14:textId="77777777" w:rsidR="00BE5923" w:rsidRPr="00BE5923" w:rsidRDefault="00BE5923" w:rsidP="00BE5923">
      <w:r w:rsidRPr="00BE5923">
        <w:t xml:space="preserve">Last Sept. 26, a Suffolk County grand jury indicted </w:t>
      </w:r>
      <w:proofErr w:type="spellStart"/>
      <w:r w:rsidRPr="00BE5923">
        <w:t>Tariri</w:t>
      </w:r>
      <w:proofErr w:type="spellEnd"/>
      <w:r w:rsidRPr="00BE5923">
        <w:t xml:space="preserve"> on multiple counts of fiduciary embezzlement under </w:t>
      </w:r>
      <w:proofErr w:type="spellStart"/>
      <w:r w:rsidRPr="00BE5923">
        <w:t>G.L.c</w:t>
      </w:r>
      <w:proofErr w:type="spellEnd"/>
      <w:r w:rsidRPr="00BE5923">
        <w:t>. 266, §57, larceny and attempting to mislead investigators.</w:t>
      </w:r>
    </w:p>
    <w:p w14:paraId="389D1625" w14:textId="77777777" w:rsidR="00BE5923" w:rsidRPr="00BE5923" w:rsidRDefault="00BE5923" w:rsidP="00BE5923">
      <w:r w:rsidRPr="00BE5923">
        <w:t xml:space="preserve">In addition to being responsible for the largest number of awards — 24 — </w:t>
      </w:r>
      <w:proofErr w:type="spellStart"/>
      <w:r w:rsidRPr="00BE5923">
        <w:t>Tariri</w:t>
      </w:r>
      <w:proofErr w:type="spellEnd"/>
      <w:r w:rsidRPr="00BE5923">
        <w:t xml:space="preserve"> accounted for the largest sum of money reimbursed by the CSB, $717,305.</w:t>
      </w:r>
    </w:p>
    <w:p w14:paraId="7D674D2C" w14:textId="77777777" w:rsidR="00BE5923" w:rsidRPr="00BE5923" w:rsidRDefault="00BE5923" w:rsidP="00BE5923">
      <w:r w:rsidRPr="00BE5923">
        <w:t>As for Maroun, the Attorney General’s Office filed a civil lawsuit in 2018 alleging that he had been </w:t>
      </w:r>
      <w:hyperlink r:id="rId8" w:history="1">
        <w:r w:rsidRPr="00BE5923">
          <w:rPr>
            <w:rStyle w:val="Hyperlink"/>
          </w:rPr>
          <w:t>running an asylum scam targeting the Brazilian immigrant community</w:t>
        </w:r>
      </w:hyperlink>
      <w:r w:rsidRPr="00BE5923">
        <w:t>.</w:t>
      </w:r>
    </w:p>
    <w:p w14:paraId="7F0898FA" w14:textId="77777777" w:rsidR="00BE5923" w:rsidRPr="00BE5923" w:rsidRDefault="00BE5923" w:rsidP="00BE5923">
      <w:r w:rsidRPr="00BE5923">
        <w:lastRenderedPageBreak/>
        <w:t xml:space="preserve">That suit culminated in a 12-day bench trial before Superior Court Judge Christopher K. Barry-Smith in March 2022. Barry-Smith ordered Maroun to pay more than $240,000 in penalties and restitution </w:t>
      </w:r>
      <w:proofErr w:type="gramStart"/>
      <w:r w:rsidRPr="00BE5923">
        <w:t>and barred</w:t>
      </w:r>
      <w:proofErr w:type="gramEnd"/>
      <w:r w:rsidRPr="00BE5923">
        <w:t xml:space="preserve"> him from any future illegal immigration services.</w:t>
      </w:r>
    </w:p>
    <w:p w14:paraId="07E1A2BD" w14:textId="77777777" w:rsidR="00BE5923" w:rsidRPr="00BE5923" w:rsidRDefault="00BE5923" w:rsidP="00BE5923">
      <w:r w:rsidRPr="00BE5923">
        <w:t>The CSB began working in 2022 with the AG’s Office and a commissioner appointed by the SJC to contact immigrant clients who had been victimized by Maroun, the CSB’s FY 23 report notes.</w:t>
      </w:r>
    </w:p>
    <w:p w14:paraId="762CE022" w14:textId="77777777" w:rsidR="00BE5923" w:rsidRPr="00BE5923" w:rsidRDefault="00BE5923" w:rsidP="00BE5923">
      <w:r w:rsidRPr="00BE5923">
        <w:t>Maroun was serving a two-year suspension from the practice of law meted out by Justice Elspeth B. Cypher in October 2022 when he was hit with a second bar discipline case, which was tried last year. The </w:t>
      </w:r>
      <w:hyperlink r:id="rId9" w:history="1">
        <w:r w:rsidRPr="00BE5923">
          <w:rPr>
            <w:rStyle w:val="Hyperlink"/>
          </w:rPr>
          <w:t>Board of Bar Overseers agreed with bar counsel</w:t>
        </w:r>
      </w:hyperlink>
      <w:r w:rsidRPr="00BE5923">
        <w:t> that Barry-Smith’s order dispensed with six of the 13 counts in that second petition for discipline, which had been based directly on the judge’s factual findings.</w:t>
      </w:r>
    </w:p>
    <w:p w14:paraId="329F7063" w14:textId="77777777" w:rsidR="00BE5923" w:rsidRPr="00BE5923" w:rsidRDefault="00BE5923" w:rsidP="00BE5923">
      <w:r w:rsidRPr="00BE5923">
        <w:t>The hearing committee recommended disbarment, which the BBO affirmed and sent on to the SJC.</w:t>
      </w:r>
    </w:p>
    <w:p w14:paraId="29A75F81" w14:textId="77777777" w:rsidR="00BE5923" w:rsidRPr="00BE5923" w:rsidRDefault="00BE5923" w:rsidP="00BE5923">
      <w:r w:rsidRPr="00BE5923">
        <w:t>The CSB’s 22 awards to Maroun’s former clients totaled $222,880.</w:t>
      </w:r>
    </w:p>
    <w:p w14:paraId="1507B407" w14:textId="037A22F8" w:rsidR="00BE5923" w:rsidRPr="00BE5923" w:rsidRDefault="00BE5923" w:rsidP="00BE5923">
      <w:r w:rsidRPr="00BE5923">
        <w:t xml:space="preserve">That </w:t>
      </w:r>
      <w:proofErr w:type="spellStart"/>
      <w:r w:rsidRPr="00BE5923">
        <w:t>Tariri</w:t>
      </w:r>
      <w:proofErr w:type="spellEnd"/>
      <w:r w:rsidRPr="00BE5923">
        <w:t xml:space="preserve"> and Maroun had breached the trust of immigrant clients did not present any special challenge to the CSB, says its vice chair, Needham attorney Adam J. Ruttenberg.</w:t>
      </w:r>
    </w:p>
    <w:p w14:paraId="6392340D" w14:textId="77777777" w:rsidR="00BE5923" w:rsidRPr="00BE5923" w:rsidRDefault="00BE5923" w:rsidP="00BE5923">
      <w:r w:rsidRPr="00BE5923">
        <w:t>“We take our clients as we find them,” Ruttenberg says. “There’s no restriction on what kind of client can apply to the board and get an award.”</w:t>
      </w:r>
    </w:p>
    <w:p w14:paraId="7AE3C9CF" w14:textId="77777777" w:rsidR="00BE5923" w:rsidRPr="00BE5923" w:rsidRDefault="00BE5923" w:rsidP="00BE5923">
      <w:r w:rsidRPr="00BE5923">
        <w:t>The CSB has continued to engage a part-time translator to assist claimants who speak Portuguese and Spanish, and the CSB used a translation service to assist with claimants and witnesses who speak other languages, its report notes.</w:t>
      </w:r>
    </w:p>
    <w:p w14:paraId="0FC20A68" w14:textId="77777777" w:rsidR="00BE5923" w:rsidRPr="00BE5923" w:rsidRDefault="00BE5923" w:rsidP="00BE5923">
      <w:r w:rsidRPr="00BE5923">
        <w:t xml:space="preserve">The third attorney who accounted for another big chunk of the $1.75 million CSB awarded to 65 claimants in FY24 was Andrew </w:t>
      </w:r>
      <w:proofErr w:type="spellStart"/>
      <w:r w:rsidRPr="00BE5923">
        <w:t>Piltser</w:t>
      </w:r>
      <w:proofErr w:type="spellEnd"/>
      <w:r w:rsidRPr="00BE5923">
        <w:t xml:space="preserve"> Cowan, who was disbarred in October 2023.</w:t>
      </w:r>
    </w:p>
    <w:p w14:paraId="2215E32B" w14:textId="77777777" w:rsidR="00BE5923" w:rsidRPr="00BE5923" w:rsidRDefault="00BE5923" w:rsidP="00BE5923">
      <w:proofErr w:type="spellStart"/>
      <w:r w:rsidRPr="00BE5923">
        <w:t>Piltser</w:t>
      </w:r>
      <w:proofErr w:type="spellEnd"/>
      <w:r w:rsidRPr="00BE5923">
        <w:t xml:space="preserve"> Cowan embezzled approximately $945,000 from three separate trust accounts — including an inheritance, a college fund and a client’s financial safety net — to pay for personal expenses and a misguided attempt to prop up the failing firm he had established in 2018, </w:t>
      </w:r>
      <w:proofErr w:type="spellStart"/>
      <w:r w:rsidRPr="00BE5923">
        <w:t>PiltserCowan</w:t>
      </w:r>
      <w:proofErr w:type="spellEnd"/>
      <w:r w:rsidRPr="00BE5923">
        <w:t xml:space="preserve"> Law, according to the AG’s Office.</w:t>
      </w:r>
    </w:p>
    <w:p w14:paraId="3CB8A29E" w14:textId="77777777" w:rsidR="00BE5923" w:rsidRPr="00BE5923" w:rsidRDefault="00BE5923" w:rsidP="00BE5923">
      <w:r w:rsidRPr="00BE5923">
        <w:t xml:space="preserve">Last Dec. 23, </w:t>
      </w:r>
      <w:proofErr w:type="spellStart"/>
      <w:r w:rsidRPr="00BE5923">
        <w:t>Piltser</w:t>
      </w:r>
      <w:proofErr w:type="spellEnd"/>
      <w:r w:rsidRPr="00BE5923">
        <w:t xml:space="preserve"> Cowan pleaded guilty in Suffolk Superior Court to three counts of fiduciary embezzlement and was sentenced to two and a half years in the House of Correction, suspended for three years, followed by three years’ probation. He was also ordered to pay $917,988 in restitution, undergo a mental health evaluation and follow any treatment deemed necessary, and not handle assets on behalf of others.</w:t>
      </w:r>
    </w:p>
    <w:p w14:paraId="12435181" w14:textId="77777777" w:rsidR="00BE5923" w:rsidRPr="00BE5923" w:rsidRDefault="00BE5923" w:rsidP="00BE5923">
      <w:proofErr w:type="spellStart"/>
      <w:r w:rsidRPr="00BE5923">
        <w:lastRenderedPageBreak/>
        <w:t>Tariri</w:t>
      </w:r>
      <w:proofErr w:type="spellEnd"/>
      <w:r w:rsidRPr="00BE5923">
        <w:t xml:space="preserve">, Maroun and </w:t>
      </w:r>
      <w:proofErr w:type="spellStart"/>
      <w:r w:rsidRPr="00BE5923">
        <w:t>Piltser</w:t>
      </w:r>
      <w:proofErr w:type="spellEnd"/>
      <w:r w:rsidRPr="00BE5923">
        <w:t xml:space="preserve"> Cowan are three of only 11 disciplined or deceased lawyers — out of 73,000 practicing in the state — responsible for keeping the CSB busy in FY24, Ruttenberg notes.</w:t>
      </w:r>
    </w:p>
    <w:p w14:paraId="3B9A8DFE" w14:textId="77777777" w:rsidR="00BE5923" w:rsidRPr="00BE5923" w:rsidRDefault="00BE5923" w:rsidP="00BE5923">
      <w:proofErr w:type="spellStart"/>
      <w:r w:rsidRPr="00BE5923">
        <w:t>Piltser</w:t>
      </w:r>
      <w:proofErr w:type="spellEnd"/>
      <w:r w:rsidRPr="00BE5923">
        <w:t xml:space="preserve"> Cowan’s actions fit the mold of the activity that generates the CSB’s largest awards, Ruttenberg notes.</w:t>
      </w:r>
    </w:p>
    <w:p w14:paraId="334611BB" w14:textId="77777777" w:rsidR="00BE5923" w:rsidRPr="00BE5923" w:rsidRDefault="00BE5923" w:rsidP="00BE5923">
      <w:r w:rsidRPr="00BE5923">
        <w:t>“By far, the biggest awards come from situations where an attorney has been entrusted with money, either from a settlement or a divorce or a trust fund, and they abscond with it,” he says.</w:t>
      </w:r>
    </w:p>
    <w:p w14:paraId="2222FF36" w14:textId="77777777" w:rsidR="00BE5923" w:rsidRPr="00BE5923" w:rsidRDefault="00BE5923" w:rsidP="00BE5923">
      <w:r w:rsidRPr="00BE5923">
        <w:t>But there are also regular instances in which a lawyer dies before earning a fee he was paid, and there are either insufficient funds in the lawyer’s IOLTA account or inadequate records to reimburse the client.</w:t>
      </w:r>
    </w:p>
    <w:p w14:paraId="33A59103" w14:textId="77777777" w:rsidR="00BE5923" w:rsidRPr="00BE5923" w:rsidRDefault="00BE5923" w:rsidP="00BE5923">
      <w:r w:rsidRPr="00BE5923">
        <w:t>In its report, the CSB notes that it plans to continue outreach to the bar in the coming fiscal year “so that more lawyers will take steps to leave better records and trusted representatives to assist clients in reclaiming their funds and property if lawyers experience disruptions to their practices including death.”</w:t>
      </w:r>
    </w:p>
    <w:p w14:paraId="71B8E41F" w14:textId="77777777" w:rsidR="00BE5923" w:rsidRPr="00BE5923" w:rsidRDefault="00BE5923" w:rsidP="00BE5923">
      <w:r w:rsidRPr="00BE5923">
        <w:t>The most common category of claims the CSB paid was for unearned retainers or excessive fees collected by attorneys and not reimbursed. While such claims represented 83 percent of the awards paid (54 of 65), they accounted for only 20 percent of the total dollars awarded, just over $350,000.</w:t>
      </w:r>
    </w:p>
    <w:p w14:paraId="5D1476C4" w14:textId="77777777" w:rsidR="00BE5923" w:rsidRPr="00BE5923" w:rsidRDefault="00BE5923" w:rsidP="00BE5923">
      <w:r w:rsidRPr="00BE5923">
        <w:t xml:space="preserve">The CSB says that one of its ongoing goals is to increase awareness of the fund it </w:t>
      </w:r>
      <w:proofErr w:type="gramStart"/>
      <w:r w:rsidRPr="00BE5923">
        <w:t>oversees</w:t>
      </w:r>
      <w:proofErr w:type="gramEnd"/>
      <w:r w:rsidRPr="00BE5923">
        <w:t>. To that end, the CSB has been working to redesign its website and improve its social media presence. It is too soon for those efforts to have borne fruit through an uptick in claims, Ruttenberg says.</w:t>
      </w:r>
    </w:p>
    <w:p w14:paraId="751D20A1" w14:textId="77777777" w:rsidR="00BE5923" w:rsidRPr="00BE5923" w:rsidRDefault="00BE5923" w:rsidP="00BE5923">
      <w:r w:rsidRPr="00BE5923">
        <w:t>Of course, Ruttenberg and other members of the board are always ready to evangelize for the CSB the old-fashioned way, too.</w:t>
      </w:r>
    </w:p>
    <w:p w14:paraId="7979C21C" w14:textId="77777777" w:rsidR="00BE5923" w:rsidRPr="00BE5923" w:rsidRDefault="00BE5923" w:rsidP="00BE5923">
      <w:r w:rsidRPr="00BE5923">
        <w:t>“Every client who hires a Massachusetts attorney should know that in the rare instance they’re defrauded and have their money stolen, the other attorneys in Massachusetts have created this fund from their registration fees to get reimbursed from,” he says.</w:t>
      </w:r>
    </w:p>
    <w:p w14:paraId="4F18B5AA" w14:textId="77777777" w:rsidR="00BE5923" w:rsidRPr="00BE5923" w:rsidRDefault="00BE5923" w:rsidP="00BE5923">
      <w:r w:rsidRPr="00BE5923">
        <w:t>Tags: </w:t>
      </w:r>
      <w:hyperlink r:id="rId10" w:tooltip="Attorney disipline" w:history="1">
        <w:r w:rsidRPr="00BE5923">
          <w:rPr>
            <w:rStyle w:val="Hyperlink"/>
          </w:rPr>
          <w:t xml:space="preserve">Attorney </w:t>
        </w:r>
        <w:proofErr w:type="spellStart"/>
        <w:r w:rsidRPr="00BE5923">
          <w:rPr>
            <w:rStyle w:val="Hyperlink"/>
          </w:rPr>
          <w:t>disipline</w:t>
        </w:r>
        <w:proofErr w:type="spellEnd"/>
      </w:hyperlink>
      <w:r w:rsidRPr="00BE5923">
        <w:t>, </w:t>
      </w:r>
      <w:hyperlink r:id="rId11" w:tooltip="Attorney misconduct" w:history="1">
        <w:r w:rsidRPr="00BE5923">
          <w:rPr>
            <w:rStyle w:val="Hyperlink"/>
          </w:rPr>
          <w:t>Attorney misconduct</w:t>
        </w:r>
      </w:hyperlink>
      <w:r w:rsidRPr="00BE5923">
        <w:t>, </w:t>
      </w:r>
      <w:hyperlink r:id="rId12" w:tooltip="Board Of Bar Overseers" w:history="1">
        <w:r w:rsidRPr="00BE5923">
          <w:rPr>
            <w:rStyle w:val="Hyperlink"/>
          </w:rPr>
          <w:t>Board Of Bar Overseers</w:t>
        </w:r>
      </w:hyperlink>
      <w:r w:rsidRPr="00BE5923">
        <w:t>, </w:t>
      </w:r>
      <w:hyperlink r:id="rId13" w:tooltip="Clients' Security Board" w:history="1">
        <w:r w:rsidRPr="00BE5923">
          <w:rPr>
            <w:rStyle w:val="Hyperlink"/>
          </w:rPr>
          <w:t>Clients' Security Board</w:t>
        </w:r>
      </w:hyperlink>
      <w:r w:rsidRPr="00BE5923">
        <w:t>, </w:t>
      </w:r>
      <w:hyperlink r:id="rId14" w:tooltip="Immigration" w:history="1">
        <w:r w:rsidRPr="00BE5923">
          <w:rPr>
            <w:rStyle w:val="Hyperlink"/>
          </w:rPr>
          <w:t>Immigration</w:t>
        </w:r>
      </w:hyperlink>
      <w:r w:rsidRPr="00BE5923">
        <w:t>, </w:t>
      </w:r>
      <w:hyperlink r:id="rId15" w:tooltip="Legal ethics" w:history="1">
        <w:r w:rsidRPr="00BE5923">
          <w:rPr>
            <w:rStyle w:val="Hyperlink"/>
          </w:rPr>
          <w:t>Legal ethics</w:t>
        </w:r>
      </w:hyperlink>
    </w:p>
    <w:p w14:paraId="5ED536E1" w14:textId="77777777" w:rsidR="00F47226" w:rsidRDefault="00F47226"/>
    <w:sectPr w:rsidR="00F47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328C9"/>
    <w:multiLevelType w:val="multilevel"/>
    <w:tmpl w:val="B34A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45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23"/>
    <w:rsid w:val="00116A22"/>
    <w:rsid w:val="00595EA0"/>
    <w:rsid w:val="0070369F"/>
    <w:rsid w:val="00AD0A6A"/>
    <w:rsid w:val="00BE5923"/>
    <w:rsid w:val="00C72B10"/>
    <w:rsid w:val="00E874BA"/>
    <w:rsid w:val="00EC0581"/>
    <w:rsid w:val="00F4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B2DB"/>
  <w15:chartTrackingRefBased/>
  <w15:docId w15:val="{3D3F7DFC-3EFA-4AFF-9D05-0ED20592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923"/>
    <w:rPr>
      <w:rFonts w:eastAsiaTheme="majorEastAsia" w:cstheme="majorBidi"/>
      <w:color w:val="272727" w:themeColor="text1" w:themeTint="D8"/>
    </w:rPr>
  </w:style>
  <w:style w:type="paragraph" w:styleId="Title">
    <w:name w:val="Title"/>
    <w:basedOn w:val="Normal"/>
    <w:next w:val="Normal"/>
    <w:link w:val="TitleChar"/>
    <w:uiPriority w:val="10"/>
    <w:qFormat/>
    <w:rsid w:val="00BE5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923"/>
    <w:pPr>
      <w:spacing w:before="160"/>
      <w:jc w:val="center"/>
    </w:pPr>
    <w:rPr>
      <w:i/>
      <w:iCs/>
      <w:color w:val="404040" w:themeColor="text1" w:themeTint="BF"/>
    </w:rPr>
  </w:style>
  <w:style w:type="character" w:customStyle="1" w:styleId="QuoteChar">
    <w:name w:val="Quote Char"/>
    <w:basedOn w:val="DefaultParagraphFont"/>
    <w:link w:val="Quote"/>
    <w:uiPriority w:val="29"/>
    <w:rsid w:val="00BE5923"/>
    <w:rPr>
      <w:i/>
      <w:iCs/>
      <w:color w:val="404040" w:themeColor="text1" w:themeTint="BF"/>
    </w:rPr>
  </w:style>
  <w:style w:type="paragraph" w:styleId="ListParagraph">
    <w:name w:val="List Paragraph"/>
    <w:basedOn w:val="Normal"/>
    <w:uiPriority w:val="34"/>
    <w:qFormat/>
    <w:rsid w:val="00BE5923"/>
    <w:pPr>
      <w:ind w:left="720"/>
      <w:contextualSpacing/>
    </w:pPr>
  </w:style>
  <w:style w:type="character" w:styleId="IntenseEmphasis">
    <w:name w:val="Intense Emphasis"/>
    <w:basedOn w:val="DefaultParagraphFont"/>
    <w:uiPriority w:val="21"/>
    <w:qFormat/>
    <w:rsid w:val="00BE5923"/>
    <w:rPr>
      <w:i/>
      <w:iCs/>
      <w:color w:val="0F4761" w:themeColor="accent1" w:themeShade="BF"/>
    </w:rPr>
  </w:style>
  <w:style w:type="paragraph" w:styleId="IntenseQuote">
    <w:name w:val="Intense Quote"/>
    <w:basedOn w:val="Normal"/>
    <w:next w:val="Normal"/>
    <w:link w:val="IntenseQuoteChar"/>
    <w:uiPriority w:val="30"/>
    <w:qFormat/>
    <w:rsid w:val="00BE5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923"/>
    <w:rPr>
      <w:i/>
      <w:iCs/>
      <w:color w:val="0F4761" w:themeColor="accent1" w:themeShade="BF"/>
    </w:rPr>
  </w:style>
  <w:style w:type="character" w:styleId="IntenseReference">
    <w:name w:val="Intense Reference"/>
    <w:basedOn w:val="DefaultParagraphFont"/>
    <w:uiPriority w:val="32"/>
    <w:qFormat/>
    <w:rsid w:val="00BE5923"/>
    <w:rPr>
      <w:b/>
      <w:bCs/>
      <w:smallCaps/>
      <w:color w:val="0F4761" w:themeColor="accent1" w:themeShade="BF"/>
      <w:spacing w:val="5"/>
    </w:rPr>
  </w:style>
  <w:style w:type="character" w:styleId="Hyperlink">
    <w:name w:val="Hyperlink"/>
    <w:basedOn w:val="DefaultParagraphFont"/>
    <w:uiPriority w:val="99"/>
    <w:unhideWhenUsed/>
    <w:rsid w:val="00BE5923"/>
    <w:rPr>
      <w:color w:val="467886" w:themeColor="hyperlink"/>
      <w:u w:val="single"/>
    </w:rPr>
  </w:style>
  <w:style w:type="character" w:styleId="UnresolvedMention">
    <w:name w:val="Unresolved Mention"/>
    <w:basedOn w:val="DefaultParagraphFont"/>
    <w:uiPriority w:val="99"/>
    <w:semiHidden/>
    <w:unhideWhenUsed/>
    <w:rsid w:val="00BE5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10200">
      <w:bodyDiv w:val="1"/>
      <w:marLeft w:val="0"/>
      <w:marRight w:val="0"/>
      <w:marTop w:val="0"/>
      <w:marBottom w:val="0"/>
      <w:divBdr>
        <w:top w:val="none" w:sz="0" w:space="0" w:color="auto"/>
        <w:left w:val="none" w:sz="0" w:space="0" w:color="auto"/>
        <w:bottom w:val="none" w:sz="0" w:space="0" w:color="auto"/>
        <w:right w:val="none" w:sz="0" w:space="0" w:color="auto"/>
      </w:divBdr>
      <w:divsChild>
        <w:div w:id="1478914508">
          <w:marLeft w:val="-180"/>
          <w:marRight w:val="-180"/>
          <w:marTop w:val="0"/>
          <w:marBottom w:val="0"/>
          <w:divBdr>
            <w:top w:val="none" w:sz="0" w:space="0" w:color="auto"/>
            <w:left w:val="none" w:sz="0" w:space="0" w:color="auto"/>
            <w:bottom w:val="none" w:sz="0" w:space="0" w:color="auto"/>
            <w:right w:val="none" w:sz="0" w:space="0" w:color="auto"/>
          </w:divBdr>
          <w:divsChild>
            <w:div w:id="2072842592">
              <w:marLeft w:val="0"/>
              <w:marRight w:val="0"/>
              <w:marTop w:val="0"/>
              <w:marBottom w:val="480"/>
              <w:divBdr>
                <w:top w:val="none" w:sz="0" w:space="0" w:color="auto"/>
                <w:left w:val="none" w:sz="0" w:space="0" w:color="auto"/>
                <w:bottom w:val="none" w:sz="0" w:space="0" w:color="auto"/>
                <w:right w:val="none" w:sz="0" w:space="0" w:color="auto"/>
              </w:divBdr>
            </w:div>
            <w:div w:id="1191262915">
              <w:marLeft w:val="0"/>
              <w:marRight w:val="0"/>
              <w:marTop w:val="0"/>
              <w:marBottom w:val="0"/>
              <w:divBdr>
                <w:top w:val="none" w:sz="0" w:space="0" w:color="auto"/>
                <w:left w:val="none" w:sz="0" w:space="0" w:color="auto"/>
                <w:bottom w:val="none" w:sz="0" w:space="0" w:color="auto"/>
                <w:right w:val="none" w:sz="0" w:space="0" w:color="auto"/>
              </w:divBdr>
            </w:div>
          </w:divsChild>
        </w:div>
        <w:div w:id="545994481">
          <w:marLeft w:val="0"/>
          <w:marRight w:val="0"/>
          <w:marTop w:val="0"/>
          <w:marBottom w:val="0"/>
          <w:divBdr>
            <w:top w:val="none" w:sz="0" w:space="0" w:color="auto"/>
            <w:left w:val="none" w:sz="0" w:space="0" w:color="auto"/>
            <w:bottom w:val="none" w:sz="0" w:space="0" w:color="auto"/>
            <w:right w:val="none" w:sz="0" w:space="0" w:color="auto"/>
          </w:divBdr>
          <w:divsChild>
            <w:div w:id="932082360">
              <w:marLeft w:val="0"/>
              <w:marRight w:val="0"/>
              <w:marTop w:val="0"/>
              <w:marBottom w:val="240"/>
              <w:divBdr>
                <w:top w:val="none" w:sz="0" w:space="0" w:color="auto"/>
                <w:left w:val="none" w:sz="0" w:space="0" w:color="auto"/>
                <w:bottom w:val="none" w:sz="0" w:space="0" w:color="auto"/>
                <w:right w:val="none" w:sz="0" w:space="0" w:color="auto"/>
              </w:divBdr>
              <w:divsChild>
                <w:div w:id="1389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09484">
          <w:marLeft w:val="0"/>
          <w:marRight w:val="0"/>
          <w:marTop w:val="0"/>
          <w:marBottom w:val="0"/>
          <w:divBdr>
            <w:top w:val="none" w:sz="0" w:space="0" w:color="auto"/>
            <w:left w:val="none" w:sz="0" w:space="0" w:color="auto"/>
            <w:bottom w:val="none" w:sz="0" w:space="0" w:color="auto"/>
            <w:right w:val="none" w:sz="0" w:space="0" w:color="auto"/>
          </w:divBdr>
          <w:divsChild>
            <w:div w:id="15252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7749">
      <w:bodyDiv w:val="1"/>
      <w:marLeft w:val="0"/>
      <w:marRight w:val="0"/>
      <w:marTop w:val="0"/>
      <w:marBottom w:val="0"/>
      <w:divBdr>
        <w:top w:val="none" w:sz="0" w:space="0" w:color="auto"/>
        <w:left w:val="none" w:sz="0" w:space="0" w:color="auto"/>
        <w:bottom w:val="none" w:sz="0" w:space="0" w:color="auto"/>
        <w:right w:val="none" w:sz="0" w:space="0" w:color="auto"/>
      </w:divBdr>
      <w:divsChild>
        <w:div w:id="1391616191">
          <w:marLeft w:val="-180"/>
          <w:marRight w:val="-180"/>
          <w:marTop w:val="0"/>
          <w:marBottom w:val="0"/>
          <w:divBdr>
            <w:top w:val="none" w:sz="0" w:space="0" w:color="auto"/>
            <w:left w:val="none" w:sz="0" w:space="0" w:color="auto"/>
            <w:bottom w:val="none" w:sz="0" w:space="0" w:color="auto"/>
            <w:right w:val="none" w:sz="0" w:space="0" w:color="auto"/>
          </w:divBdr>
          <w:divsChild>
            <w:div w:id="2077317066">
              <w:marLeft w:val="0"/>
              <w:marRight w:val="0"/>
              <w:marTop w:val="0"/>
              <w:marBottom w:val="480"/>
              <w:divBdr>
                <w:top w:val="none" w:sz="0" w:space="0" w:color="auto"/>
                <w:left w:val="none" w:sz="0" w:space="0" w:color="auto"/>
                <w:bottom w:val="none" w:sz="0" w:space="0" w:color="auto"/>
                <w:right w:val="none" w:sz="0" w:space="0" w:color="auto"/>
              </w:divBdr>
            </w:div>
            <w:div w:id="528643726">
              <w:marLeft w:val="0"/>
              <w:marRight w:val="0"/>
              <w:marTop w:val="0"/>
              <w:marBottom w:val="0"/>
              <w:divBdr>
                <w:top w:val="none" w:sz="0" w:space="0" w:color="auto"/>
                <w:left w:val="none" w:sz="0" w:space="0" w:color="auto"/>
                <w:bottom w:val="none" w:sz="0" w:space="0" w:color="auto"/>
                <w:right w:val="none" w:sz="0" w:space="0" w:color="auto"/>
              </w:divBdr>
            </w:div>
          </w:divsChild>
        </w:div>
        <w:div w:id="1119684668">
          <w:marLeft w:val="0"/>
          <w:marRight w:val="0"/>
          <w:marTop w:val="0"/>
          <w:marBottom w:val="0"/>
          <w:divBdr>
            <w:top w:val="none" w:sz="0" w:space="0" w:color="auto"/>
            <w:left w:val="none" w:sz="0" w:space="0" w:color="auto"/>
            <w:bottom w:val="none" w:sz="0" w:space="0" w:color="auto"/>
            <w:right w:val="none" w:sz="0" w:space="0" w:color="auto"/>
          </w:divBdr>
          <w:divsChild>
            <w:div w:id="1003357680">
              <w:marLeft w:val="0"/>
              <w:marRight w:val="0"/>
              <w:marTop w:val="0"/>
              <w:marBottom w:val="240"/>
              <w:divBdr>
                <w:top w:val="none" w:sz="0" w:space="0" w:color="auto"/>
                <w:left w:val="none" w:sz="0" w:space="0" w:color="auto"/>
                <w:bottom w:val="none" w:sz="0" w:space="0" w:color="auto"/>
                <w:right w:val="none" w:sz="0" w:space="0" w:color="auto"/>
              </w:divBdr>
              <w:divsChild>
                <w:div w:id="4362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607">
          <w:marLeft w:val="0"/>
          <w:marRight w:val="0"/>
          <w:marTop w:val="0"/>
          <w:marBottom w:val="0"/>
          <w:divBdr>
            <w:top w:val="none" w:sz="0" w:space="0" w:color="auto"/>
            <w:left w:val="none" w:sz="0" w:space="0" w:color="auto"/>
            <w:bottom w:val="none" w:sz="0" w:space="0" w:color="auto"/>
            <w:right w:val="none" w:sz="0" w:space="0" w:color="auto"/>
          </w:divBdr>
          <w:divsChild>
            <w:div w:id="500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news/immigration-attorney-barred-from-running-asylum-scam-ordered-to-pay-more-than-240000-following-ag-lawsuit" TargetMode="External"/><Relationship Id="rId13" Type="http://schemas.openxmlformats.org/officeDocument/2006/relationships/hyperlink" Target="https://masslawyersweekly.com/tag/clients-security-board/"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bbopublic.massbbo.org/web/f/BD2022-080.pdf" TargetMode="External"/><Relationship Id="rId12" Type="http://schemas.openxmlformats.org/officeDocument/2006/relationships/hyperlink" Target="https://masslawyersweekly.com/tag/board-of-bar-overse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masscsb.org/media/report/62_CSB%20Annual%20Report%20FY2024.pdf" TargetMode="External"/><Relationship Id="rId11" Type="http://schemas.openxmlformats.org/officeDocument/2006/relationships/hyperlink" Target="https://masslawyersweekly.com/tag/attorney-misconduct/" TargetMode="External"/><Relationship Id="rId5" Type="http://schemas.openxmlformats.org/officeDocument/2006/relationships/hyperlink" Target="https://masslawyersweekly.com/author/kris/" TargetMode="External"/><Relationship Id="rId15" Type="http://schemas.openxmlformats.org/officeDocument/2006/relationships/hyperlink" Target="https://masslawyersweekly.com/tag/legal-ethics/" TargetMode="External"/><Relationship Id="rId10" Type="http://schemas.openxmlformats.org/officeDocument/2006/relationships/hyperlink" Target="https://masslawyersweekly.com/tag/attorney-disiplin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bbopublic.massbbo.org/web/f/HRPT-1-22-00273564_et_al.pdf" TargetMode="External"/><Relationship Id="rId14" Type="http://schemas.openxmlformats.org/officeDocument/2006/relationships/hyperlink" Target="https://masslawyersweekly.com/tag/immig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4C226C963E24B887097488BD3B75C" ma:contentTypeVersion="18" ma:contentTypeDescription="Create a new document." ma:contentTypeScope="" ma:versionID="3852ffc1d22e16346731a6d518eda027">
  <xsd:schema xmlns:xsd="http://www.w3.org/2001/XMLSchema" xmlns:xs="http://www.w3.org/2001/XMLSchema" xmlns:p="http://schemas.microsoft.com/office/2006/metadata/properties" xmlns:ns2="0eec043e-a15c-41fa-8afe-717af433728f" xmlns:ns3="0916fa07-0ca0-40f8-bfb7-3de872f037a7" xmlns:ns4="143881e7-87c7-4f50-8ab9-0dd5334c3578" targetNamespace="http://schemas.microsoft.com/office/2006/metadata/properties" ma:root="true" ma:fieldsID="8386958b8e25405995e961e8dadf1c2c" ns2:_="" ns3:_="" ns4:_="">
    <xsd:import namespace="0eec043e-a15c-41fa-8afe-717af433728f"/>
    <xsd:import namespace="0916fa07-0ca0-40f8-bfb7-3de872f037a7"/>
    <xsd:import namespace="143881e7-87c7-4f50-8ab9-0dd5334c35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c043e-a15c-41fa-8afe-717af4337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92ca3e-fe17-4ead-b92c-1e15fa26c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6fa07-0ca0-40f8-bfb7-3de872f037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81e7-87c7-4f50-8ab9-0dd5334c357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e542eb7-474d-4b3d-a2f4-8104cfd8bd27}" ma:internalName="TaxCatchAll" ma:showField="CatchAllData" ma:web="0916fa07-0ca0-40f8-bfb7-3de872f037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ec043e-a15c-41fa-8afe-717af433728f">
      <Terms xmlns="http://schemas.microsoft.com/office/infopath/2007/PartnerControls"/>
    </lcf76f155ced4ddcb4097134ff3c332f>
    <TaxCatchAll xmlns="143881e7-87c7-4f50-8ab9-0dd5334c3578" xsi:nil="true"/>
  </documentManagement>
</p:properties>
</file>

<file path=customXml/itemProps1.xml><?xml version="1.0" encoding="utf-8"?>
<ds:datastoreItem xmlns:ds="http://schemas.openxmlformats.org/officeDocument/2006/customXml" ds:itemID="{D6E10CE2-C429-47AA-8A1A-E577DCBC05D5}"/>
</file>

<file path=customXml/itemProps2.xml><?xml version="1.0" encoding="utf-8"?>
<ds:datastoreItem xmlns:ds="http://schemas.openxmlformats.org/officeDocument/2006/customXml" ds:itemID="{21A30326-FFF9-4F5B-A42C-0B4F6BF07FD5}"/>
</file>

<file path=customXml/itemProps3.xml><?xml version="1.0" encoding="utf-8"?>
<ds:datastoreItem xmlns:ds="http://schemas.openxmlformats.org/officeDocument/2006/customXml" ds:itemID="{A52E02DF-6B16-41A0-9EC7-9DC919DAE992}"/>
</file>

<file path=docProps/app.xml><?xml version="1.0" encoding="utf-8"?>
<Properties xmlns="http://schemas.openxmlformats.org/officeDocument/2006/extended-properties" xmlns:vt="http://schemas.openxmlformats.org/officeDocument/2006/docPropsVTypes">
  <Template>Normal.dotm</Template>
  <TotalTime>2</TotalTime>
  <Pages>3</Pages>
  <Words>1196</Words>
  <Characters>6822</Characters>
  <Application>Microsoft Office Word</Application>
  <DocSecurity>0</DocSecurity>
  <Lines>56</Lines>
  <Paragraphs>16</Paragraphs>
  <ScaleCrop>false</ScaleCrop>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Bauer</dc:creator>
  <cp:keywords/>
  <dc:description/>
  <cp:lastModifiedBy>Linda Bauer</cp:lastModifiedBy>
  <cp:revision>1</cp:revision>
  <dcterms:created xsi:type="dcterms:W3CDTF">2025-04-30T19:18:00Z</dcterms:created>
  <dcterms:modified xsi:type="dcterms:W3CDTF">2025-04-30T19:20:00Z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0x010100A9A4C226C963E24B887097488BD3B75C</vt:lpwstr>
  </property>
</Properties>
</file>